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tekstu"/>
        <w:spacing w:lineRule="auto" w:line="276"/>
        <w:jc w:val="left"/>
        <w:rPr>
          <w:rFonts w:ascii="Calibri" w:hAnsi="Calibri" w:cs="Calibri"/>
          <w:b w:val="false"/>
          <w:b w:val="false"/>
          <w:sz w:val="20"/>
          <w:szCs w:val="20"/>
        </w:rPr>
      </w:pPr>
      <w:r>
        <w:rPr>
          <w:rFonts w:cs="Calibri" w:ascii="Calibri" w:hAnsi="Calibri"/>
          <w:b w:val="false"/>
          <w:sz w:val="20"/>
          <w:szCs w:val="20"/>
        </w:rPr>
      </w:r>
    </w:p>
    <w:p>
      <w:pPr>
        <w:pStyle w:val="Tytu"/>
        <w:spacing w:lineRule="auto" w:line="360"/>
        <w:jc w:val="right"/>
        <w:rPr>
          <w:rFonts w:ascii="Calibri" w:hAnsi="Calibri" w:cs="Calibri"/>
          <w:b w:val="false"/>
          <w:b w:val="false"/>
          <w:bCs w:val="false"/>
          <w:sz w:val="24"/>
          <w:szCs w:val="24"/>
        </w:rPr>
      </w:pPr>
      <w:r>
        <w:rPr>
          <w:rFonts w:cs="Calibri" w:ascii="Calibri" w:hAnsi="Calibri"/>
          <w:b w:val="false"/>
          <w:bCs w:val="false"/>
          <w:sz w:val="24"/>
          <w:szCs w:val="24"/>
        </w:rPr>
        <w:t>Załącznik nr 1 do  Formularza ofertowego</w:t>
      </w:r>
    </w:p>
    <w:p>
      <w:pPr>
        <w:pStyle w:val="Tytu"/>
        <w:spacing w:lineRule="auto" w:line="360"/>
        <w:jc w:val="center"/>
        <w:rPr>
          <w:sz w:val="36"/>
          <w:szCs w:val="32"/>
        </w:rPr>
      </w:pPr>
      <w:r>
        <w:rPr>
          <w:rFonts w:cs="Calibri" w:ascii="Calibri" w:hAnsi="Calibri"/>
          <w:b/>
          <w:bCs/>
          <w:sz w:val="36"/>
          <w:szCs w:val="32"/>
        </w:rPr>
        <w:t xml:space="preserve">Formularz </w:t>
      </w:r>
      <w:r>
        <w:rPr>
          <w:rFonts w:eastAsia="Microsoft YaHei" w:cs="Calibri" w:ascii="Calibri" w:hAnsi="Calibri"/>
          <w:b/>
          <w:bCs/>
          <w:color w:val="auto"/>
          <w:kern w:val="2"/>
          <w:sz w:val="36"/>
          <w:szCs w:val="32"/>
          <w:lang w:val="pl-PL" w:eastAsia="zh-CN" w:bidi="hi-IN"/>
        </w:rPr>
        <w:t>cenowy</w:t>
      </w:r>
    </w:p>
    <w:p>
      <w:pPr>
        <w:pStyle w:val="Tretekstu"/>
        <w:widowControl/>
        <w:suppressAutoHyphens w:val="true"/>
        <w:bidi w:val="0"/>
        <w:spacing w:lineRule="auto" w:line="360" w:before="0" w:after="0"/>
        <w:ind w:left="-964" w:right="-850" w:hanging="0"/>
        <w:jc w:val="left"/>
        <w:rPr>
          <w:rFonts w:ascii="Calibri" w:hAnsi="Calibri" w:cs="Calibri"/>
          <w:b w:val="false"/>
          <w:b w:val="false"/>
          <w:sz w:val="28"/>
          <w:szCs w:val="20"/>
        </w:rPr>
      </w:pPr>
      <w:r>
        <w:rPr>
          <w:rFonts w:cs="Calibri" w:ascii="Calibri" w:hAnsi="Calibri"/>
          <w:b w:val="false"/>
          <w:sz w:val="28"/>
          <w:szCs w:val="20"/>
        </w:rPr>
        <w:t>Przełącznik sieciowy (model, typ) …………………………………………………………………………………………………………………………………………………….……..</w:t>
      </w:r>
    </w:p>
    <w:tbl>
      <w:tblPr>
        <w:tblW w:w="16048" w:type="dxa"/>
        <w:jc w:val="left"/>
        <w:tblInd w:w="-10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350"/>
        <w:gridCol w:w="1823"/>
        <w:gridCol w:w="3623"/>
        <w:gridCol w:w="623"/>
        <w:gridCol w:w="969"/>
        <w:gridCol w:w="1478"/>
        <w:gridCol w:w="1526"/>
        <w:gridCol w:w="3974"/>
      </w:tblGrid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Lp.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  <w:shd w:fill="auto" w:val="clear"/>
              </w:rPr>
              <w:t>Typ -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  <w:shd w:fill="auto" w:val="clear"/>
              </w:rPr>
              <w:t>asortyment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Wymagane minimalne parametry techniczne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szt.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Wartość netto</w:t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kol. (5) x kol. (6)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Oferowane parametry techniczne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  <w:shd w:fill="auto" w:val="clear"/>
              </w:rPr>
              <w:t>(2)</w:t>
            </w:r>
          </w:p>
        </w:tc>
        <w:tc>
          <w:tcPr>
            <w:tcW w:w="18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3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(8)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center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(9)</w:t>
            </w:r>
          </w:p>
        </w:tc>
      </w:tr>
      <w:tr>
        <w:trPr>
          <w:trHeight w:val="567" w:hRule="atLeast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1.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Przełącznik sieciowy</w:t>
            </w:r>
          </w:p>
        </w:tc>
        <w:tc>
          <w:tcPr>
            <w:tcW w:w="140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uppressAutoHyphens w:val="true"/>
              <w:spacing w:lineRule="auto" w:line="276" w:before="0" w:after="160"/>
              <w:jc w:val="left"/>
              <w:rPr>
                <w:rFonts w:ascii="Calibri" w:hAnsi="Calibri"/>
                <w:b w:val="false"/>
                <w:b w:val="false"/>
                <w:bCs w:val="false"/>
                <w:sz w:val="4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4"/>
                <w:szCs w:val="20"/>
              </w:rPr>
            </w:r>
          </w:p>
          <w:p>
            <w:pPr>
              <w:pStyle w:val="Tekstpodstawowy31"/>
              <w:widowControl w:val="false"/>
              <w:suppressAutoHyphens w:val="true"/>
              <w:spacing w:lineRule="auto" w:line="276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4"/>
                <w:szCs w:val="24"/>
                <w:lang w:val="pl-PL" w:eastAsia="zh-CN" w:bidi="hi-IN"/>
              </w:rPr>
              <w:t>Producent, model ……………………………………………………………………………………………………………………………………………………………………………………...…...</w:t>
            </w:r>
          </w:p>
        </w:tc>
      </w:tr>
      <w:tr>
        <w:trPr>
          <w:trHeight w:val="567" w:hRule="atLeast"/>
        </w:trPr>
        <w:tc>
          <w:tcPr>
            <w:tcW w:w="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 xml:space="preserve">Interfejsy sieciowe </w:t>
            </w:r>
          </w:p>
        </w:tc>
        <w:tc>
          <w:tcPr>
            <w:tcW w:w="3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  <w:tab w:val="left" w:pos="30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Wymaganym jest aby przełącznik dysponował niezależnymi interfejsami sieciowymi (nie dopuszcza się portów typu combo) w ilości: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0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 xml:space="preserve">48 portów GE RJ-45., w tym porty PoE w ilości co najmniej: 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24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, zgodne ze standardem: 802.3 af oraz 802.3 at.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0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4 porty 10 GE SFP+</w:t>
            </w:r>
          </w:p>
        </w:tc>
        <w:tc>
          <w:tcPr>
            <w:tcW w:w="62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6</w:t>
            </w:r>
          </w:p>
        </w:tc>
        <w:tc>
          <w:tcPr>
            <w:tcW w:w="9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7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5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Zarządzanie</w:t>
            </w:r>
          </w:p>
        </w:tc>
        <w:tc>
          <w:tcPr>
            <w:tcW w:w="3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Dedykowany 1 interfejs Ethernet RJ-45 do zarządzania.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Wbudowany 1 port konsoli szeregowej do pełnego zarządzania.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Zarządzanie przez: command line (w tym poprzez SSH) oraz poprzez graficzny interfejs z wykorzystaniem przeglądarki (HTTPS).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Wsparcie dla SNMP w wersjach 1, 2, 3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Funkcja zarządzania poprzez dedykowany kontroler przełączników lub system zarządzania, pozwalający na  automatyczne wykrywanie, centralne konfigurowanie oraz zarządzanie przełącznikami.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Funkcja aktualizacji oprogramowania przez TFTP/FTP oraz za pomocą GUI.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Konfiguracja w formie pliku tekstowego umożliwiającego edycję konfiguracji offline.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Funkcja backupu konfiguracji z poziomu GUI jak również z CLI (TFTP/FTP).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Funkcja definiowania administratorów lokalnie oraz wykorzystanie w tym celu z serwerów Radius i TACACS+.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Funkcja definiowania ról administratorów przydzielających tryb dostępu (brak, tylko odczyt, odczyt oraz modyfikacja) do wybranych części konfiguracji.</w:t>
            </w:r>
          </w:p>
        </w:tc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Parametry wydajnościowe</w:t>
            </w:r>
          </w:p>
        </w:tc>
        <w:tc>
          <w:tcPr>
            <w:tcW w:w="3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Tahoma" w:hAnsi="Tahoma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Tahoma" w:hAnsi="Tahoma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Tahoma" w:hAnsi="Tahoma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Przepustowość urządzenia - min. 100 Gbps (pełna prędkość, tzw. wire-speed na wszystkich portach) oraz min.150 Mpps.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Tahoma" w:hAnsi="Tahoma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Tahoma" w:hAnsi="Tahoma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Tahoma" w:hAnsi="Tahoma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Tablica adresów MAC o pojemności co najmniej 16 k wpisów.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Tahoma" w:hAnsi="Tahoma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Tahoma" w:hAnsi="Tahoma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Tahoma" w:hAnsi="Tahoma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Opóźnienie wprowadzane przez przełącznik - poniżej 1 mikrosekund.</w:t>
            </w:r>
          </w:p>
        </w:tc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Wymagane funkcje</w:t>
            </w:r>
          </w:p>
        </w:tc>
        <w:tc>
          <w:tcPr>
            <w:tcW w:w="3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Funkcja automatycznej negocjacji prędkości i duplexu dla połączeń.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Obsługa Jumbo Frames.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Obsługa 802.1d (Spanning Tree), 802.1w (Rapid Spanning Tree), 802.1s (Multiple Spanning Tree).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Agregacja portów zgodna ze standardem 802.3ad.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Obsługa co najmniej 4000 VLAN-ów, zgodna ze standardem 802.1Q.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Obsługa routingu statycznego.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Obsługa Quality of Service, w tym zakresie: 802.1p oraz DSCP.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Port-mirroring.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shd w:fill="auto" w:val="clear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shd w:fill="auto" w:val="clear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shd w:fill="auto" w:val="clear"/>
                <w:lang w:val="pl-PL" w:eastAsia="zh-CN" w:bidi="hi-IN"/>
              </w:rPr>
              <w:tab/>
              <w:t>Uwierzytelnianie 802.1x na poziomie portu.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shd w:fill="auto" w:val="clear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shd w:fill="auto" w:val="clear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shd w:fill="auto" w:val="clear"/>
                <w:lang w:val="pl-PL" w:eastAsia="zh-CN" w:bidi="hi-IN"/>
              </w:rPr>
              <w:tab/>
              <w:t>Uwierzytelnianie 802.1x w oparciu o  adres MAC.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W ramach 802.1x wsparcie dla dedykowanego VLANu dla gości (guest VLAN).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W ramach 802.1x wsparcie dla  urządzeń, które nie obsługują tego protokołu, na podstawie adresu MAC urządzenia.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W ramach 802.1x  wsparcie dla dynamicznego przypisywania VLAN.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9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Obsługa protokołu sFlow.</w:t>
            </w:r>
          </w:p>
        </w:tc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Dodatkowe funkcje urządzenia przy integracji z systemem centralnego zarządzania / NAC</w:t>
            </w:r>
          </w:p>
        </w:tc>
        <w:tc>
          <w:tcPr>
            <w:tcW w:w="3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 xml:space="preserve">Przełączniki muszą wspierać tryb pracy, w którym są zarządzane przez fizyczny element nadrzędny (przełącznik lub dedykowany kontroler tzw. port extender lub element leaf w architekturze spine-leaf). Zakres zarządzania przez element nadrzędny musi zawierać co najmniej: 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Funkcja uruchomienia Captive Portalu w celu identyfikacji użytkowników.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 xml:space="preserve">Centralne zarządzanie sieciami VLAN. 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Rozpoznawanie urządzeń uzyskujących dostęp do sieci.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Obsługa białych i czarnych list adresów MAC.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Wykrywanie aplikacji komunikujących się w sieci.</w:t>
            </w:r>
          </w:p>
          <w:p>
            <w:pPr>
              <w:pStyle w:val="Zawartotabeli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•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ab/>
              <w:t>W przypadku gdy do uruchomienia na przełączniku w/w funkcji, polegających na integracji z systemem centralnego zarządzania lub NAC wymagane są licencje, muszą być one dostarczone .</w:t>
            </w:r>
          </w:p>
        </w:tc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suppressAutoHyphens w:val="tru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Gwarancja</w:t>
            </w:r>
          </w:p>
        </w:tc>
        <w:tc>
          <w:tcPr>
            <w:tcW w:w="3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 xml:space="preserve">Przełącznik sieciowy musi być objęty serwisem gwarancyjnym 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shd w:fill="auto" w:val="clear"/>
                <w:lang w:val="pl-PL" w:eastAsia="zh-CN" w:bidi="hi-IN"/>
              </w:rPr>
              <w:t xml:space="preserve">przez okres wskazany w kryteriach oceny ofert, </w:t>
            </w: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polegającym na naprawie lub wymianie urządzenia w przypadku jego wadliwości. W ramach tego serwisu musi być zapewniony również dostęp do aktualizacji oprogramowania oraz wsparcie techniczne w trybie 24x7. Okres gwarancji stanowi kryterium oceny ofert.</w:t>
            </w:r>
          </w:p>
        </w:tc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16046" w:type="dxa"/>
            <w:gridSpan w:val="9"/>
            <w:tcBorders/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</w:rPr>
            </w:pPr>
            <w:r>
              <w:rPr>
                <w:rFonts w:ascii="Calibri" w:hAnsi="Calibri"/>
                <w:b w:val="false"/>
                <w:bCs w:val="false"/>
              </w:rPr>
            </w:r>
          </w:p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</w:rPr>
            </w:pPr>
            <w:r>
              <w:rPr>
                <w:rFonts w:ascii="Calibri" w:hAnsi="Calibri"/>
                <w:b w:val="false"/>
                <w:bCs w:val="false"/>
              </w:rPr>
              <w:t>Moduł sieciowy: (model, typ) ……………………………………………………………………………………………………………………………………………………….……….…….</w:t>
            </w:r>
          </w:p>
        </w:tc>
      </w:tr>
      <w:tr>
        <w:trPr>
          <w:trHeight w:val="567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2.</w:t>
            </w:r>
          </w:p>
        </w:tc>
        <w:tc>
          <w:tcPr>
            <w:tcW w:w="3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retekstu"/>
              <w:widowControl w:val="false"/>
              <w:suppressAutoHyphens w:val="true"/>
              <w:spacing w:lineRule="auto" w:line="360" w:before="0" w:after="16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Moduł sieciowy: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Zawartotabeli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10GE SFP+ transceiver module short range for all systems with SFP+ and SFP/SFP+ slots – 4 sztuki</w:t>
            </w:r>
          </w:p>
          <w:p>
            <w:pPr>
              <w:pStyle w:val="Zawartotabeli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Wymagany okres gwarancji 24 miesiące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16046" w:type="dxa"/>
            <w:gridSpan w:val="9"/>
            <w:tcBorders/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/>
                <w:b w:val="false"/>
                <w:b w:val="false"/>
                <w:bCs w:val="false"/>
              </w:rPr>
            </w:pPr>
            <w:r>
              <w:rPr>
                <w:rFonts w:ascii="Calibri" w:hAnsi="Calibri"/>
                <w:b w:val="false"/>
                <w:bCs w:val="false"/>
              </w:rPr>
              <w:t>Moduł sieciowy: (model, typ) …………………………………………………………………………………………………………………………………………………….………………..</w:t>
            </w:r>
          </w:p>
        </w:tc>
      </w:tr>
      <w:tr>
        <w:trPr>
          <w:trHeight w:val="567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bookmarkStart w:id="0" w:name="_GoBack2"/>
            <w:bookmarkEnd w:id="0"/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3.</w:t>
            </w:r>
          </w:p>
        </w:tc>
        <w:tc>
          <w:tcPr>
            <w:tcW w:w="3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retekstu"/>
              <w:widowControl w:val="false"/>
              <w:suppressAutoHyphens w:val="true"/>
              <w:spacing w:lineRule="auto" w:line="360" w:before="0" w:after="16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Moduł sieciowy: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Zawartotabeli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10GE SFP+ transceiver module long range for all systems with SFP+ and SFP/SFP+ slots – 2 sztuki</w:t>
            </w:r>
          </w:p>
          <w:p>
            <w:pPr>
              <w:pStyle w:val="Zawartotabeli"/>
              <w:widowControl w:val="false"/>
              <w:suppressAutoHyphens w:val="true"/>
              <w:spacing w:lineRule="auto" w:line="276" w:before="0" w:after="103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Wymagany okres gwarancji 24 miesiące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N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567" w:hRule="atLeast"/>
        </w:trPr>
        <w:tc>
          <w:tcPr>
            <w:tcW w:w="906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sz w:val="8"/>
                <w:szCs w:val="28"/>
              </w:rPr>
            </w:pPr>
            <w:r>
              <w:rPr>
                <w:sz w:val="8"/>
                <w:szCs w:val="28"/>
              </w:rPr>
            </w:r>
          </w:p>
          <w:p>
            <w:pPr>
              <w:pStyle w:val="Tekstpodstawowy31"/>
              <w:widowControl w:val="false"/>
              <w:snapToGrid w:val="false"/>
              <w:spacing w:lineRule="auto" w:line="276"/>
              <w:jc w:val="left"/>
              <w:rPr>
                <w:rFonts w:ascii="Calibri" w:hAnsi="Calibri" w:cs="Calibri"/>
                <w:b/>
                <w:b/>
                <w:bCs/>
                <w:sz w:val="28"/>
                <w:szCs w:val="28"/>
              </w:rPr>
            </w:pPr>
            <w:r>
              <w:rPr>
                <w:rFonts w:cs="Calibri" w:ascii="Calibri" w:hAnsi="Calibri"/>
                <w:b/>
                <w:bCs/>
                <w:sz w:val="28"/>
                <w:szCs w:val="28"/>
              </w:rPr>
              <w:t>Suma brutto (łączna wartość)</w:t>
            </w:r>
          </w:p>
        </w:tc>
        <w:tc>
          <w:tcPr>
            <w:tcW w:w="697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AutoHyphens w:val="true"/>
              <w:snapToGrid w:val="false"/>
              <w:spacing w:lineRule="auto" w:line="360" w:before="0" w:after="160"/>
              <w:jc w:val="left"/>
              <w:rPr>
                <w:rFonts w:ascii="Calibri" w:hAnsi="Calibri" w:eastAsia="SimSun" w:cs="Calibri"/>
                <w:b w:val="false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Calibri" w:hAnsi="Calibri"/>
                <w:b w:val="false"/>
                <w:bCs w:val="false"/>
                <w:kern w:val="0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Tekstpodstawowy31"/>
        <w:spacing w:lineRule="auto" w:line="276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ekstpodstawowy31"/>
        <w:spacing w:lineRule="auto" w:line="276"/>
        <w:ind w:left="720" w:right="0" w:hanging="0"/>
        <w:rPr>
          <w:rFonts w:ascii="Calibri" w:hAnsi="Calibri" w:cs="Calibri"/>
          <w:color w:val="000000"/>
          <w:sz w:val="26"/>
          <w:szCs w:val="26"/>
        </w:rPr>
      </w:pPr>
      <w:r>
        <w:rPr>
          <w:rFonts w:cs="Calibri" w:ascii="Calibri" w:hAnsi="Calibri"/>
          <w:color w:val="000000"/>
          <w:sz w:val="26"/>
          <w:szCs w:val="26"/>
        </w:rPr>
        <w:t>Uwaga: w przypadku rozbieżności w zadeklarowanym okresie gwarancji pomiędzy Formularzem ofertowym a Formularzem cenowym wiążący dla Wykonawcy będzie okres gwarancji zadeklarowany w Formularzu ofertowym.</w:t>
      </w:r>
    </w:p>
    <w:p>
      <w:pPr>
        <w:pStyle w:val="Tekstpodstawowy31"/>
        <w:spacing w:lineRule="auto" w:line="276"/>
        <w:ind w:left="720" w:right="0" w:hanging="0"/>
        <w:rPr>
          <w:rFonts w:ascii="Calibri" w:hAnsi="Calibri" w:cs="Calibri"/>
          <w:sz w:val="26"/>
          <w:szCs w:val="26"/>
        </w:rPr>
      </w:pPr>
      <w:r>
        <w:rPr>
          <w:rFonts w:cs="Calibri" w:ascii="Calibri" w:hAnsi="Calibri"/>
          <w:sz w:val="26"/>
          <w:szCs w:val="26"/>
        </w:rPr>
      </w:r>
    </w:p>
    <w:p>
      <w:pPr>
        <w:pStyle w:val="Normal"/>
        <w:spacing w:lineRule="auto" w:line="360" w:before="0" w:after="160"/>
        <w:ind w:left="720" w:right="0" w:hanging="0"/>
        <w:rPr>
          <w:rFonts w:ascii="Calibri" w:hAnsi="Calibri" w:eastAsia="Times New Roman" w:cs="Calibri"/>
          <w:b w:val="false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>* - użyte nazwy własne odpowiadają typowi sprzętu oraz oprogramowania aktualnie użytkowanego przez Zamawiającego i zgodnego z posiadanym pozostałym sprzętem i oprogramowaniem.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0" w:after="160"/>
        <w:ind w:left="720" w:right="0" w:hanging="0"/>
        <w:jc w:val="left"/>
        <w:rPr>
          <w:rFonts w:ascii="Calibri" w:hAnsi="Calibri" w:eastAsia="Times New Roman" w:cs="Calibri"/>
          <w:b w:val="false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>Nie spełnienie chociażby jednego z wymaganych parametrów skutkować będzie odrzuceniem oferty, jak również nie określenie (nie wpisanie) określonych parametrów technicznych w poszczególnych punktach tabeli skutkować może odrzuceniem oferty w przypadku gdy nie będzie można jednoznacznie stwierdzić zgodności oferowanego sprzętu z określonymi w SWZ wymogami.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0" w:after="160"/>
        <w:ind w:left="720" w:right="0" w:hanging="0"/>
        <w:jc w:val="left"/>
        <w:rPr>
          <w:rFonts w:ascii="Calibri" w:hAnsi="Calibri" w:eastAsia="Times New Roman" w:cs="Calibri"/>
          <w:b w:val="false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0" w:after="160"/>
        <w:ind w:left="737" w:right="0" w:firstLine="6633"/>
        <w:jc w:val="left"/>
        <w:rPr>
          <w:rFonts w:ascii="Calibri" w:hAnsi="Calibri" w:eastAsia="Times New Roman" w:cs="Calibri"/>
          <w:b w:val="false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>……………………………………………………………………</w:t>
      </w: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>.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0" w:after="160"/>
        <w:ind w:left="7370" w:right="0" w:hanging="0"/>
        <w:jc w:val="left"/>
        <w:rPr/>
      </w:pPr>
      <w:r>
        <w:rPr>
          <w:rFonts w:eastAsia="Times New Roman" w:cs="Calibri" w:ascii="Calibri" w:hAnsi="Calibri"/>
          <w:b w:val="false"/>
          <w:bCs w:val="false"/>
          <w:color w:val="auto"/>
          <w:kern w:val="0"/>
          <w:sz w:val="26"/>
          <w:szCs w:val="26"/>
          <w:lang w:val="pl-PL" w:eastAsia="zh-CN" w:bidi="ar-SA"/>
        </w:rPr>
        <w:t>Podpis(y) osób uprawnionych do składania oświadczeń woli w imieniu Wykonawcy  (</w:t>
      </w:r>
      <w:bookmarkStart w:id="1" w:name="_Hlk102639179"/>
      <w:r>
        <w:rPr>
          <w:rFonts w:eastAsia="Times New Roman" w:cs="Calibri" w:ascii="Calibri" w:hAnsi="Calibri"/>
          <w:b w:val="false"/>
          <w:bCs w:val="false"/>
          <w:i/>
          <w:color w:val="auto"/>
          <w:kern w:val="0"/>
          <w:sz w:val="26"/>
          <w:szCs w:val="26"/>
          <w:lang w:val="pl-PL" w:eastAsia="zh-CN" w:bidi="ar-SA"/>
        </w:rPr>
        <w:t xml:space="preserve">kwalifikowany podpis elektroniczny </w:t>
      </w:r>
      <w:bookmarkEnd w:id="1"/>
      <w:r>
        <w:rPr>
          <w:rFonts w:eastAsia="Times New Roman" w:cs="Calibri" w:ascii="Calibri" w:hAnsi="Calibri"/>
          <w:b w:val="false"/>
          <w:bCs w:val="false"/>
          <w:i/>
          <w:color w:val="auto"/>
          <w:kern w:val="0"/>
          <w:sz w:val="26"/>
          <w:szCs w:val="26"/>
          <w:lang w:val="pl-PL" w:eastAsia="zh-CN" w:bidi="ar-SA"/>
        </w:rPr>
        <w:t>)</w:t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1418" w:top="1475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M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left="0" w:right="360" w:hanging="0"/>
      <w:rPr/>
    </w:pPr>
    <w:r>
      <w:rPr/>
      <mc:AlternateContent>
        <mc:Choice Requires="wps">
          <w:drawing>
            <wp:anchor behindDoc="0" distT="0" distB="635" distL="0" distR="0" simplePos="0" locked="0" layoutInCell="0" allowOverlap="1" relativeHeight="18">
              <wp:simplePos x="0" y="0"/>
              <wp:positionH relativeFrom="column">
                <wp:posOffset>8408035</wp:posOffset>
              </wp:positionH>
              <wp:positionV relativeFrom="paragraph">
                <wp:posOffset>88900</wp:posOffset>
              </wp:positionV>
              <wp:extent cx="549910" cy="396875"/>
              <wp:effectExtent l="0" t="635" r="0" b="0"/>
              <wp:wrapSquare wrapText="largest"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0080" cy="396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rStyle w:val="Numerstron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"/>
                              <w:color w:val="000000"/>
                            </w:rPr>
                            <w:t>6</w:t>
                          </w:r>
                          <w:r>
                            <w:rPr>
                              <w:rStyle w:val="Numerstron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1800" rIns="1800" tIns="1800" bIns="18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662.05pt;margin-top:7pt;width:43.25pt;height:31.2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jc w:val="right"/>
                      <w:rPr>
                        <w:color w:val="000000"/>
                      </w:rPr>
                    </w:pPr>
                    <w:r>
                      <w:rPr>
                        <w:rStyle w:val="Numerstron"/>
                        <w:color w:val="000000"/>
                      </w:rPr>
                      <w:fldChar w:fldCharType="begin"/>
                    </w:r>
                    <w:r>
                      <w:rPr>
                        <w:rStyle w:val="Numerstron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"/>
                        <w:color w:val="000000"/>
                      </w:rPr>
                      <w:fldChar w:fldCharType="separate"/>
                    </w:r>
                    <w:r>
                      <w:rPr>
                        <w:rStyle w:val="Numerstron"/>
                        <w:color w:val="000000"/>
                      </w:rPr>
                      <w:t>6</w:t>
                    </w:r>
                    <w:r>
                      <w:rPr>
                        <w:rStyle w:val="Numerstron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ArialMT" w:hAnsi="ArialMT"/>
        <w:sz w:val="20"/>
        <w:lang w:val="pl-PL" w:eastAsia="pl-PL"/>
      </w:rPr>
    </w:pPr>
    <w:r>
      <w:drawing>
        <wp:anchor behindDoc="0" distT="0" distB="0" distL="114935" distR="114935" simplePos="0" locked="0" layoutInCell="0" allowOverlap="1" relativeHeight="7">
          <wp:simplePos x="0" y="0"/>
          <wp:positionH relativeFrom="margin">
            <wp:align>center</wp:align>
          </wp:positionH>
          <wp:positionV relativeFrom="margin">
            <wp:posOffset>-938530</wp:posOffset>
          </wp:positionV>
          <wp:extent cx="5759450" cy="594995"/>
          <wp:effectExtent l="0" t="0" r="0" b="0"/>
          <wp:wrapTopAndBottom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" t="-118" r="-12" b="-118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MT" w:hAnsi="ArialMT"/>
        <w:sz w:val="20"/>
        <w:lang w:val="pl-PL" w:eastAsia="pl-PL"/>
      </w:rPr>
      <w:t>Sfinansowano w ramach reakcji Unii na pandemię COVID-19</w:t>
    </w:r>
  </w:p>
  <w:p>
    <w:pPr>
      <w:pStyle w:val="Normal"/>
      <w:jc w:val="center"/>
      <w:rPr>
        <w:sz w:val="12"/>
        <w:szCs w:val="12"/>
      </w:rPr>
    </w:pPr>
    <w:r>
      <w:rPr>
        <w:sz w:val="12"/>
        <w:szCs w:val="12"/>
      </w:rPr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ind w:left="1416" w:right="0" w:firstLine="708"/>
      <w:jc w:val="center"/>
      <w:outlineLvl w:val="0"/>
    </w:pPr>
    <w:rPr>
      <w:b/>
      <w:sz w:val="32"/>
    </w:rPr>
  </w:style>
  <w:style w:type="paragraph" w:styleId="Nagwek4">
    <w:name w:val="Heading 4"/>
    <w:basedOn w:val="Normal"/>
    <w:next w:val="Normal"/>
    <w:qFormat/>
    <w:pPr>
      <w:keepNext w:val="true"/>
      <w:tabs>
        <w:tab w:val="clear" w:pos="708"/>
        <w:tab w:val="left" w:pos="720" w:leader="none"/>
      </w:tabs>
      <w:ind w:left="720" w:right="0" w:hanging="720"/>
      <w:jc w:val="both"/>
      <w:outlineLvl w:val="3"/>
    </w:pPr>
    <w:rPr>
      <w:b/>
      <w:sz w:val="28"/>
    </w:rPr>
  </w:style>
  <w:style w:type="paragraph" w:styleId="Nagwek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character" w:styleId="DefaultParagraphFont">
    <w:name w:val="Default Paragraph Font"/>
    <w:qFormat/>
    <w:rPr/>
  </w:style>
  <w:style w:type="character" w:styleId="WW8Num1z0">
    <w:name w:val="WW8Num1z0"/>
    <w:qFormat/>
    <w:rPr>
      <w:rFonts w:ascii="Wingdings" w:hAnsi="Wingdings" w:cs="Wingdings"/>
    </w:rPr>
  </w:style>
  <w:style w:type="character" w:styleId="WW8Num2z0">
    <w:name w:val="WW8Num2z0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4z1">
    <w:name w:val="WW8Num4z1"/>
    <w:qFormat/>
    <w:rPr>
      <w:rFonts w:ascii="Tahoma" w:hAnsi="Tahoma" w:cs="Tahoma"/>
      <w:sz w:val="22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7z0">
    <w:name w:val="WW8Num17z0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8z0">
    <w:name w:val="WW8Num18z0"/>
    <w:qFormat/>
    <w:rPr>
      <w:rFonts w:ascii="Times New Roman" w:hAnsi="Times New Roman" w:eastAsia="Times New Roman" w:cs="Times New Roman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2">
    <w:name w:val="WW8Num19z2"/>
    <w:qFormat/>
    <w:rPr>
      <w:rFonts w:ascii="Symbol" w:hAnsi="Symbol" w:cs="Symbol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2z0">
    <w:name w:val="WW8Num22z0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>
      <w:rFonts w:ascii="Symbol" w:hAnsi="Symbol" w:eastAsia="Times New Roman" w:cs="Times New Roman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Domylnaczcionkaakapitu">
    <w:name w:val="Domyślna czcionka akapitu"/>
    <w:qFormat/>
    <w:rPr/>
  </w:style>
  <w:style w:type="character" w:styleId="AbsatzStandardschriftart">
    <w:name w:val="Absatz-Standardschriftart"/>
    <w:qFormat/>
    <w:rPr/>
  </w:style>
  <w:style w:type="character" w:styleId="Domylnaczcionkaakapitu1">
    <w:name w:val="Domyślna czcionka akapitu1"/>
    <w:qFormat/>
    <w:rPr/>
  </w:style>
  <w:style w:type="character" w:styleId="Numerstron">
    <w:name w:val="Page Number"/>
    <w:basedOn w:val="Domylnaczcionkaakapitu1"/>
    <w:rPr/>
  </w:style>
  <w:style w:type="character" w:styleId="Znakinumeracji">
    <w:name w:val="Znaki numeracji"/>
    <w:qFormat/>
    <w:rPr/>
  </w:style>
  <w:style w:type="character" w:styleId="NagwekZnak">
    <w:name w:val="Nagłówek Znak"/>
    <w:qFormat/>
    <w:rPr/>
  </w:style>
  <w:style w:type="character" w:styleId="TekstprzypisudolnegoZnak">
    <w:name w:val="Tekst przypisu dolnego Znak"/>
    <w:qFormat/>
    <w:rPr>
      <w:rFonts w:eastAsia="Calibri"/>
      <w:lang w:val="pl-PL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Znakiprzypiswdolnych">
    <w:name w:val="Znaki przypisów dolnych"/>
    <w:qFormat/>
    <w:rPr>
      <w:shd w:fill="auto" w:val="clear"/>
      <w:vertAlign w:val="superscript"/>
    </w:rPr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Podtytu"/>
    <w:qFormat/>
    <w:pPr>
      <w:jc w:val="center"/>
    </w:pPr>
    <w:rPr>
      <w:sz w:val="28"/>
    </w:rPr>
  </w:style>
  <w:style w:type="paragraph" w:styleId="Tretekstu">
    <w:name w:val="Body Text"/>
    <w:basedOn w:val="Normal"/>
    <w:pPr/>
    <w:rPr>
      <w:sz w:val="28"/>
    </w:rPr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>
      <w:suppressAutoHyphens w:val="false"/>
      <w:ind w:left="720" w:right="0" w:hanging="720"/>
      <w:jc w:val="both"/>
    </w:pPr>
    <w:rPr>
      <w:rFonts w:eastAsia="Calibri"/>
      <w:lang w:val="pl-PL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ind w:left="0" w:right="-142" w:hanging="0"/>
    </w:pPr>
    <w:rPr>
      <w:b/>
      <w:sz w:val="28"/>
    </w:rPr>
  </w:style>
  <w:style w:type="paragraph" w:styleId="Tekstpodstawowy31">
    <w:name w:val="Tekst podstawowy 31"/>
    <w:basedOn w:val="Normal"/>
    <w:qFormat/>
    <w:pPr/>
    <w:rPr>
      <w:b/>
      <w:sz w:val="28"/>
    </w:rPr>
  </w:style>
  <w:style w:type="paragraph" w:styleId="Zawartoramki">
    <w:name w:val="Zawartość ramki"/>
    <w:basedOn w:val="Tretekstu"/>
    <w:qFormat/>
    <w:pPr/>
    <w:rPr/>
  </w:style>
  <w:style w:type="paragraph" w:styleId="NormalnyWeb">
    <w:name w:val="Normalny (Web)"/>
    <w:basedOn w:val="Normal"/>
    <w:qFormat/>
    <w:pPr>
      <w:suppressAutoHyphens w:val="false"/>
      <w:spacing w:before="100" w:after="100"/>
    </w:pPr>
    <w:rPr>
      <w:sz w:val="24"/>
      <w:szCs w:val="24"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Akapitzlist">
    <w:name w:val="Akapit z listą"/>
    <w:basedOn w:val="Normal"/>
    <w:qFormat/>
    <w:pPr>
      <w:spacing w:lineRule="exact" w:line="300" w:before="120" w:after="0"/>
      <w:ind w:left="720" w:right="0" w:hanging="0"/>
      <w:contextualSpacing/>
      <w:jc w:val="both"/>
    </w:pPr>
    <w:rPr>
      <w:sz w:val="24"/>
      <w:szCs w:val="24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0" w:cs="Lucida Sans"/>
      <w:color w:val="000000"/>
      <w:kern w:val="2"/>
      <w:sz w:val="24"/>
      <w:szCs w:val="24"/>
      <w:lang w:val="pl-PL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1250</TotalTime>
  <Application>LibreOffice/7.4.5.1$Windows_X86_64 LibreOffice_project/9c0871452b3918c1019dde9bfac75448afc4b57f</Application>
  <AppVersion>15.0000</AppVersion>
  <Pages>6</Pages>
  <Words>721</Words>
  <Characters>4726</Characters>
  <CharactersWithSpaces>5368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Kuś</dc:creator>
  <dc:description/>
  <dc:language>pl-PL</dc:language>
  <cp:lastModifiedBy/>
  <cp:lastPrinted>2023-01-03T13:45:27Z</cp:lastPrinted>
  <dcterms:modified xsi:type="dcterms:W3CDTF">2023-01-27T11:16:24Z</dcterms:modified>
  <cp:revision>92</cp:revision>
  <dc:subject/>
  <dc:title>Znak sprawy: ZP/24/2006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12200F9FBBD64F1BB908D09807D03509</vt:lpwstr>
  </property>
  <property fmtid="{D5CDD505-2E9C-101B-9397-08002B2CF9AE}" pid="3" name="KSOProductBuildVer">
    <vt:lpwstr>1045-11.2.0.11156</vt:lpwstr>
  </property>
</Properties>
</file>